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pPr>
      <w:r w:rsidDel="00000000" w:rsidR="00000000" w:rsidRPr="00000000">
        <w:rPr>
          <w:rtl w:val="0"/>
        </w:rPr>
        <w:t xml:space="preserve">Bike Racing</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Don’t get left behind – show off your most enviable riding skills in the leading, highly-immersive game bike racing. In the game, you get the chance to make the most of your enviable experience and skill to steam ahead of the pack and keep yourself entertained for hours upon hours on end. Use your motorcycle to leap over obstacles and race against time to obtain stars through 30 wonderful and testing levels. The more stars you can get, the greater the amount of bikes you can unlock becomes. More and more riding fans across the world are experiencing the vast thrill of Bike Racing online. </w:t>
      </w:r>
    </w:p>
    <w:p w:rsidR="00000000" w:rsidDel="00000000" w:rsidP="00000000" w:rsidRDefault="00000000" w:rsidRPr="00000000">
      <w:pPr>
        <w:pBdr/>
        <w:contextualSpacing w:val="0"/>
        <w:rPr/>
      </w:pPr>
      <w:r w:rsidDel="00000000" w:rsidR="00000000" w:rsidRPr="00000000">
        <w:rPr>
          <w:rtl w:val="0"/>
        </w:rPr>
        <w:t xml:space="preserve">You can obtain stars you missed out on the first time round by revisiting old levels you were otherwise successful in. You can use the controls on your keyboard to play this game. The game has become one of the most popular of its type, and has been played by gamers from all across the world. Why wait any longer to start enjoying Bike Racing online for yourself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